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71755</wp:posOffset>
                </wp:positionH>
                <wp:positionV relativeFrom="paragraph">
                  <wp:posOffset>106680</wp:posOffset>
                </wp:positionV>
                <wp:extent cx="5858510" cy="1270"/>
                <wp:effectExtent l="0" t="0" r="9525" b="1905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0"/>
                        </a:xfrm>
                        <a:prstGeom prst="line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65pt,8.4pt" to="466.85pt,8.4pt" ID="Прямая соединительная линия 1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cs="Times New Roman CYR" w:ascii="Times New Roman CYR" w:hAnsi="Times New Roman CYR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cs="Times New Roman CYR" w:ascii="Times New Roman CYR" w:hAnsi="Times New Roman CYR"/>
          <w:bCs/>
          <w:sz w:val="24"/>
          <w:szCs w:val="24"/>
        </w:rPr>
        <w:t>Заместитель директора</w:t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cs="Times New Roman CYR" w:ascii="Times New Roman CYR" w:hAnsi="Times New Roman CYR"/>
          <w:bCs/>
          <w:sz w:val="24"/>
          <w:szCs w:val="24"/>
        </w:rPr>
        <w:t>по учебно-методической работе</w:t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cs="Times New Roman CYR" w:ascii="Times New Roman CYR" w:hAnsi="Times New Roman CYR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cs="Times New Roman CYR" w:ascii="Times New Roman CYR" w:hAnsi="Times New Roman CYR"/>
          <w:bCs/>
          <w:sz w:val="24"/>
          <w:szCs w:val="24"/>
        </w:rPr>
        <w:t>Фомичева О.В.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ДОПОЛНИТЕЛЬНАЯ ПРОФЕССИОНАЛЬНАЯ ПРОГРАММА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ПОВЫШЕНИЯ КВАЛИФИКАЦИИ</w:t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"Способы защиты и действия в условиях угрозы совершения или при совершении террористического акта"</w:t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Объём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16 академических часов</w:t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Санкт-Петербург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2019 г.</w:t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uto" w:line="360"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Общая характеристика программы</w:t>
      </w:r>
    </w:p>
    <w:p>
      <w:pPr>
        <w:pStyle w:val="ListParagraph"/>
        <w:shd w:val="clear" w:color="auto" w:fill="FFFFFF"/>
        <w:spacing w:lineRule="auto" w:line="36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Цель реализации программы</w:t>
      </w:r>
    </w:p>
    <w:p>
      <w:pPr>
        <w:pStyle w:val="ListParagraph"/>
        <w:shd w:val="clear" w:color="auto" w:fill="FFFFFF"/>
        <w:spacing w:lineRule="auto" w:line="36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Требования к результатам обучения</w:t>
      </w:r>
    </w:p>
    <w:p>
      <w:pPr>
        <w:pStyle w:val="ListParagraph"/>
        <w:shd w:val="clear" w:color="auto" w:fill="FFFFFF"/>
        <w:spacing w:lineRule="auto" w:line="36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Нормативно-правовые основания разработки программы</w:t>
      </w:r>
    </w:p>
    <w:p>
      <w:pPr>
        <w:pStyle w:val="ListParagraph"/>
        <w:shd w:val="clear" w:color="auto" w:fill="FFFFFF"/>
        <w:spacing w:lineRule="auto" w:line="36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 Категории обучающихся</w:t>
      </w:r>
    </w:p>
    <w:p>
      <w:pPr>
        <w:pStyle w:val="ListParagraph"/>
        <w:shd w:val="clear" w:color="auto" w:fill="FFFFFF"/>
        <w:spacing w:lineRule="auto" w:line="360" w:before="0" w:after="0"/>
        <w:ind w:left="106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 Форма обучения и форма организации образовательной деятельности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Тематический план и содержание учебного материала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Условия реализации программы.</w:t>
      </w:r>
      <w:bookmarkStart w:id="0" w:name="_GoBack"/>
      <w:bookmarkEnd w:id="0"/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Информационное обеспечение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1. ОБЩАЯ ХАРАКТЕРИСТИКА ПРОГРАММЫ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ab/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Цель реализации программы.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Целью дополнительной профессиональной программы повышения квалификации (далее программы)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является совершенствование компетенций преподавателей и сотрудников в области противодействия идеологии экстремизма и терроризма, приобретение необходимых знаний и практических навыков </w:t>
      </w:r>
      <w:r>
        <w:rPr>
          <w:rFonts w:cs="Times New Roman" w:ascii="Times New Roman" w:hAnsi="Times New Roman"/>
          <w:color w:val="000000"/>
          <w:sz w:val="24"/>
          <w:szCs w:val="24"/>
        </w:rPr>
        <w:t>поведения при угрозе совершения или совершении террористического акта на территории образовательного учреждения и в быту.</w:t>
      </w:r>
    </w:p>
    <w:p>
      <w:pPr>
        <w:pStyle w:val="Default"/>
        <w:spacing w:lineRule="auto" w:line="360"/>
        <w:ind w:firstLine="567"/>
        <w:rPr/>
      </w:pPr>
      <w:r>
        <w:rPr>
          <w:b/>
          <w:bCs/>
          <w:i/>
        </w:rPr>
        <w:t>Задачи программы</w:t>
      </w:r>
      <w:r>
        <w:rPr>
          <w:b/>
          <w:bCs/>
        </w:rPr>
        <w:t>:</w:t>
      </w:r>
    </w:p>
    <w:p>
      <w:pPr>
        <w:pStyle w:val="Default"/>
        <w:spacing w:lineRule="auto" w:line="360"/>
        <w:ind w:firstLine="426"/>
        <w:jc w:val="both"/>
        <w:rPr/>
      </w:pPr>
      <w:r>
        <w:rPr/>
        <w:t xml:space="preserve">– </w:t>
      </w:r>
      <w:r>
        <w:rPr/>
        <w:t>формирование достаточного уровня подготовки для организации профилактических мероприятий и грамотного управления группами обучающихся в условиях возникновения террористических угроз;</w:t>
      </w:r>
    </w:p>
    <w:p>
      <w:pPr>
        <w:pStyle w:val="Default"/>
        <w:spacing w:lineRule="auto" w:line="360"/>
        <w:ind w:firstLine="426"/>
        <w:jc w:val="both"/>
        <w:rPr/>
      </w:pPr>
      <w:r>
        <w:rPr/>
        <w:t>- формирование устойчивых навыков и умений действовать при возникновении террористических угроз.</w:t>
      </w:r>
    </w:p>
    <w:p>
      <w:pPr>
        <w:pStyle w:val="Default"/>
        <w:spacing w:lineRule="auto" w:line="360"/>
        <w:ind w:firstLine="426"/>
        <w:jc w:val="both"/>
        <w:rPr/>
      </w:pPr>
      <w:r>
        <w:rPr/>
        <w:t>- формирование нетерпимости к проявлению, пропаганде и распространению идей экстремизма, ксенофобии, национальной исключительности в образовательной деятельности.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Требования к результатам обучения</w:t>
      </w:r>
    </w:p>
    <w:p>
      <w:pPr>
        <w:pStyle w:val="ListParagraph"/>
        <w:shd w:val="clear" w:color="auto" w:fill="FFFFFF"/>
        <w:spacing w:lineRule="auto" w:line="360" w:before="0" w:after="0"/>
        <w:ind w:left="0" w:firstLine="4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результате освоения программы повышения квалификации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Способы защиты и действия в условиях угрозы совершения или при совершении террористического акта»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обучающиеся:</w:t>
      </w:r>
    </w:p>
    <w:p>
      <w:pPr>
        <w:pStyle w:val="ListParagraph"/>
        <w:shd w:val="clear" w:color="auto" w:fill="FFFFFF"/>
        <w:spacing w:lineRule="auto" w:line="360" w:before="0" w:after="0"/>
        <w:ind w:left="0" w:firstLine="4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Получат следующие знания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>
          <w:rStyle w:val="Style16"/>
          <w:i w:val="false"/>
          <w:i w:val="false"/>
          <w:iCs w:val="false"/>
        </w:rPr>
      </w:pPr>
      <w:r>
        <w:rPr>
          <w:rStyle w:val="Style16"/>
          <w:bCs/>
          <w:i w:val="false"/>
        </w:rPr>
        <w:t>основные понятия и термины, предложенные тематикой программы;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/>
      </w:pPr>
      <w:r>
        <w:rPr/>
        <w:t>нормативно-правовую базу противодействия экстремизму и терроризму;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/>
      </w:pPr>
      <w:r>
        <w:rPr/>
        <w:t>методы и правила организации профилактики экстремизма и терроризма в образовательном учреждении;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/>
      </w:pPr>
      <w:r>
        <w:rPr/>
        <w:t>порядок действий при возникновении угрозы совершения террористических актов;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/>
      </w:pPr>
      <w:r>
        <w:rPr/>
        <w:t>виды антитеррористических мероприятий.</w:t>
      </w:r>
    </w:p>
    <w:p>
      <w:pPr>
        <w:pStyle w:val="ListParagraph"/>
        <w:shd w:val="clear" w:color="auto" w:fill="FFFFFF"/>
        <w:spacing w:lineRule="auto" w:line="360" w:before="0" w:after="0"/>
        <w:ind w:left="420" w:hanging="0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Приобретут умения: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>
          <w:rStyle w:val="Style16"/>
          <w:i w:val="false"/>
          <w:i w:val="false"/>
          <w:iCs w:val="false"/>
        </w:rPr>
      </w:pPr>
      <w:r>
        <w:rPr>
          <w:rStyle w:val="Style16"/>
          <w:bCs/>
          <w:i w:val="false"/>
        </w:rPr>
        <w:t>использовать правовые основания для принятия мер по обеспечению безопасности участников образовательного процесса в образовательной организации;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>
          <w:rStyle w:val="Style16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Web"/>
        <w:spacing w:lineRule="auto" w:line="360" w:beforeAutospacing="0" w:before="0" w:afterAutospacing="0" w:after="0"/>
        <w:ind w:left="284" w:hanging="0"/>
        <w:jc w:val="both"/>
        <w:rPr>
          <w:rStyle w:val="Style16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>
          <w:rStyle w:val="Style16"/>
          <w:i w:val="false"/>
          <w:i w:val="false"/>
          <w:iCs w:val="false"/>
        </w:rPr>
      </w:pPr>
      <w:r>
        <w:rPr>
          <w:rStyle w:val="Style16"/>
          <w:bCs/>
          <w:i w:val="false"/>
        </w:rPr>
        <w:t>применять нормативные документы при планировании мероприятий по антитеррористической защищённости в полном соответствии с действующим законодательством;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>
          <w:rStyle w:val="Style16"/>
          <w:i w:val="false"/>
          <w:i w:val="false"/>
          <w:iCs w:val="false"/>
        </w:rPr>
      </w:pPr>
      <w:r>
        <w:rPr/>
        <w:t>критически оценивать возникающие ситуации, отражающие проявления экстремизма и терроризма в правовом и психологическом контексте;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>
          <w:rStyle w:val="Style16"/>
          <w:i w:val="false"/>
          <w:i w:val="false"/>
          <w:iCs w:val="false"/>
        </w:rPr>
      </w:pPr>
      <w:r>
        <w:rPr>
          <w:rStyle w:val="Style16"/>
          <w:bCs/>
          <w:i w:val="false"/>
        </w:rPr>
        <w:t>применять методы профилактики терроризма и экстремизма.</w:t>
      </w:r>
    </w:p>
    <w:p>
      <w:pPr>
        <w:pStyle w:val="NormalWeb"/>
        <w:spacing w:lineRule="auto" w:line="360" w:beforeAutospacing="0" w:before="0" w:afterAutospacing="0" w:after="0"/>
        <w:ind w:left="284" w:hanging="0"/>
        <w:jc w:val="both"/>
        <w:rPr>
          <w:rStyle w:val="Style16"/>
          <w:b/>
          <w:b/>
          <w:bCs/>
        </w:rPr>
      </w:pPr>
      <w:r>
        <w:rPr>
          <w:rStyle w:val="Style16"/>
          <w:b/>
          <w:bCs/>
        </w:rPr>
        <w:t>Овладеют навыками: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>
          <w:rStyle w:val="Style16"/>
          <w:i w:val="false"/>
          <w:i w:val="false"/>
          <w:iCs w:val="false"/>
        </w:rPr>
      </w:pPr>
      <w:r>
        <w:rPr>
          <w:rStyle w:val="Style16"/>
          <w:i w:val="false"/>
          <w:iCs w:val="false"/>
        </w:rPr>
        <w:t>действий при угрозе совершения террористического акта;</w:t>
      </w:r>
    </w:p>
    <w:p>
      <w:pPr>
        <w:pStyle w:val="NormalWeb"/>
        <w:numPr>
          <w:ilvl w:val="0"/>
          <w:numId w:val="4"/>
        </w:numPr>
        <w:spacing w:lineRule="auto" w:line="360" w:beforeAutospacing="0" w:before="0" w:afterAutospacing="0" w:after="0"/>
        <w:ind w:left="284" w:hanging="284"/>
        <w:jc w:val="both"/>
        <w:rPr>
          <w:rStyle w:val="Style16"/>
          <w:i w:val="false"/>
          <w:i w:val="false"/>
          <w:iCs w:val="false"/>
        </w:rPr>
      </w:pPr>
      <w:r>
        <w:rPr>
          <w:rStyle w:val="Style16"/>
          <w:i w:val="false"/>
          <w:iCs w:val="false"/>
        </w:rPr>
        <w:t>планирование мероприятий по обеспечению безопасности, антитеррористической защищённости обучающихся и сотрудников образовательного учреждения.</w:t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Нормативно-правовые основания разработки программы</w:t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Нормативно правовую основу разработки программы составляют: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360"/>
        <w:contextualSpacing/>
        <w:jc w:val="both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 xml:space="preserve">Федеральный закон от 29.12.2012 № </w:t>
      </w:r>
      <w:r>
        <w:rPr>
          <w:rFonts w:cs="Times New Roman" w:ascii="Times New Roman" w:hAnsi="Times New Roman"/>
          <w:sz w:val="24"/>
          <w:szCs w:val="24"/>
        </w:rPr>
        <w:t>273-</w:t>
      </w:r>
      <w:r>
        <w:rPr>
          <w:rFonts w:eastAsia="TimesNewRomanPSMT" w:cs="Times New Roman" w:ascii="Times New Roman" w:hAnsi="Times New Roman"/>
          <w:sz w:val="24"/>
          <w:szCs w:val="24"/>
        </w:rPr>
        <w:t>ФЗ «Об образовании в Российской Федерации» (далее – Закон об образовании);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ind w:left="0" w:firstLine="360"/>
        <w:contextualSpacing/>
        <w:jc w:val="both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Устав ФГБ ПОУ "Академия управления городской средой, градостроительства и печати;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360"/>
        <w:contextualSpacing/>
        <w:jc w:val="both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357"/>
        <w:contextualSpacing/>
        <w:jc w:val="both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 xml:space="preserve">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</w:t>
      </w:r>
      <w:r>
        <w:rPr>
          <w:rFonts w:cs="Times New Roman" w:ascii="Times New Roman" w:hAnsi="Times New Roman"/>
          <w:sz w:val="24"/>
          <w:szCs w:val="24"/>
        </w:rPr>
        <w:t xml:space="preserve">утв. </w:t>
      </w:r>
      <w:r>
        <w:rPr>
          <w:rFonts w:eastAsia="TimesNewRomanPSMT" w:cs="Times New Roman" w:ascii="Times New Roman" w:hAnsi="Times New Roman"/>
          <w:sz w:val="24"/>
          <w:szCs w:val="24"/>
        </w:rPr>
        <w:t>Министерства образования и науки Российской Федерации от</w:t>
      </w:r>
      <w:r>
        <w:rPr>
          <w:rFonts w:cs="Times New Roman" w:ascii="Times New Roman" w:hAnsi="Times New Roman"/>
          <w:sz w:val="24"/>
          <w:szCs w:val="24"/>
        </w:rPr>
        <w:t xml:space="preserve"> 22.01.2015 N ДЛ-1/05вн</w:t>
      </w:r>
      <w:r>
        <w:rPr>
          <w:rFonts w:eastAsia="TimesNewRomanPSMT"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Федеральный</w:t>
      </w:r>
      <w:r>
        <w:rPr>
          <w:rFonts w:cs="Times New Roman" w:ascii="Times New Roman" w:hAnsi="Times New Roman"/>
          <w:sz w:val="24"/>
          <w:szCs w:val="24"/>
        </w:rPr>
        <w:t xml:space="preserve"> закон РФ от 06.03.2006 № 35-ФЗ «О противодействии терроризму» с новой ред. и доп. от 28.06.2014 № 179-ФЗ, от 05.05.2014, от 02.11.2013,</w:t>
        <w:br/>
        <w:t>от 23.07.2013, от 08.11.2011, от 03.05.2011.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firstLine="42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Постановление Правительства РФ от 7 октября 2017 г. № 1235 «Об утверждении требований к антитеррористической защищенности объектов (территорий)  Министерства образования и науки Российской Федерации,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ListParagraph"/>
        <w:numPr>
          <w:ilvl w:val="1"/>
          <w:numId w:val="3"/>
        </w:numPr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Категории обучающихся</w:t>
      </w:r>
    </w:p>
    <w:p>
      <w:pPr>
        <w:pStyle w:val="ListParagraph"/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рассчитана на преподавателей и других работников сферы образования, имеющих среднее профессиональное и (или) высшее (высшее профессиональное) образование.</w:t>
      </w:r>
    </w:p>
    <w:p>
      <w:pPr>
        <w:pStyle w:val="Normal"/>
        <w:shd w:val="clear" w:color="auto" w:fill="FFFFFF"/>
        <w:spacing w:lineRule="auto" w:line="360" w:before="0" w:after="0"/>
        <w:ind w:firstLine="425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1.5. Форма обучения и форма организации образовательной деятельности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Нормативный срок обучения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 обучения – заочная с применением дистанционных технологий.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 построения программы – на основе модульного подхода. Образовательные модули, входящие в дополнительную профессиональную программу повышения квалификации, учитывают общие цели и задачи совместной программы.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Освоение программы сопровождается промежуточной аттестацией по модулям, входящим в состав программы, проводимой в формах, определённых учебным планом.</w:t>
      </w:r>
    </w:p>
    <w:p>
      <w:pPr>
        <w:pStyle w:val="Normal"/>
        <w:shd w:val="clear" w:color="auto" w:fill="FFFFFF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Освоение программы в целом завершается итоговой аттестацией.</w:t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Обучающимся, успешно освоившим соответствующие модули и дополнительную профессиональную программу в полном объеме и прошедшим итоговый контроль знаний, выдается удостоверение о повышении квалификации установленного образца, предусмотренного законодательством РФ.</w:t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Обучающимся, освоившим часть образовательной программы (модуль, несколько модулей), выдается справка об обучении установленного образца за фактически освоенную часть образовательной программы.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1701" w:right="851" w:header="709" w:top="1134" w:footer="709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5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5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color w:val="000000"/>
          <w:sz w:val="24"/>
          <w:szCs w:val="24"/>
          <w:lang w:eastAsia="ru-RU"/>
        </w:rPr>
        <w:t>2.Тематический план и содержание учебного материала</w:t>
      </w:r>
    </w:p>
    <w:tbl>
      <w:tblPr>
        <w:tblStyle w:val="a7"/>
        <w:tblW w:w="1431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425"/>
        <w:gridCol w:w="10064"/>
        <w:gridCol w:w="1133"/>
      </w:tblGrid>
      <w:tr>
        <w:trPr>
          <w:tblHeader w:val="true"/>
          <w:trHeight w:val="741" w:hRule="atLeast"/>
        </w:trPr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разделов 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 тем</w:t>
            </w:r>
          </w:p>
        </w:tc>
        <w:tc>
          <w:tcPr>
            <w:tcW w:w="1048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и практические занятия, самостоятельная работа обучающихся.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Всего академ. часов</w:t>
            </w:r>
          </w:p>
        </w:tc>
      </w:tr>
      <w:tr>
        <w:trPr/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8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>
        <w:trPr/>
        <w:tc>
          <w:tcPr>
            <w:tcW w:w="26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Нормативное правовое обеспечение безопасности в образовательной организации</w:t>
            </w:r>
          </w:p>
        </w:tc>
        <w:tc>
          <w:tcPr>
            <w:tcW w:w="104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613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Правовые и нормативные основы безопасности образовательного процесса 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423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Нормативно-правовое обеспечение антитеррористической безопасности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62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Промежуточная аттестация по модулю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2.</w:t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Современные террористические угрозы: классификация и методы противодействия</w:t>
            </w:r>
          </w:p>
        </w:tc>
        <w:tc>
          <w:tcPr>
            <w:tcW w:w="1048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792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spacing w:lineRule="auto" w:line="240" w:before="0" w:after="0"/>
              <w:ind w:right="-852" w:hang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 xml:space="preserve">Виды террористических актов, их общие </w:t>
            </w:r>
          </w:p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и отличительные черты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и организация мероприятий по обеспечению антитеррористической защищённости образовательной организации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62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Промежуточная аттестация по модулю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3.</w:t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мероприятия по обеспечению антитеррористической защищённости</w:t>
            </w:r>
          </w:p>
        </w:tc>
        <w:tc>
          <w:tcPr>
            <w:tcW w:w="1048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Признаки, указывающие на возможность наличия взрывного устройства.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Действия при обнаружении предметов, похожих на взрывное устройство. Действия при получении по телефону сообщения об угрозе террористического акта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Правила и порядок действий при угрозе или совершении террористического акта на территории образовательного учреждения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93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Действия сотрудников при угрозе совершения теракта. Действия населения при угрозе теракта.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Действия сотрудников при получении угрозы террористического  характера в письменной форме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Действия сотрудников при захвате в заложники и при освобождении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62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Промежуточная аттестация по модулю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4.</w:t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идеологии экстремизма и терроризма в образовательной деятельности</w:t>
            </w:r>
          </w:p>
        </w:tc>
        <w:tc>
          <w:tcPr>
            <w:tcW w:w="1048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648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Правовая основа борьбы с экстремизмом и терроризмом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558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Проявления экстремизма в молодежной среде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Профилактика и противодействие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идеологии экстремизма и терроризма в образовательной деятельности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62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Промежуточная аттестация по модулю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Модуль 5.</w:t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минимизации морально-психологических последствий совершения террористического акта</w:t>
            </w:r>
          </w:p>
        </w:tc>
        <w:tc>
          <w:tcPr>
            <w:tcW w:w="1048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566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  <w:t>Типичные реакции на стрессовые ситуации в условиях террористического акта.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284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 xml:space="preserve">Организация психологической поддержки пострадавшим.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Общие принципы общения с пострадавшими.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Психологическая помощь пострадавшим от террористического акта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69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62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Промежуточная аттестация по модулю</w:t>
            </w:r>
          </w:p>
        </w:tc>
      </w:tr>
      <w:tr>
        <w:trPr>
          <w:trHeight w:val="241" w:hRule="atLeast"/>
        </w:trPr>
        <w:tc>
          <w:tcPr>
            <w:tcW w:w="311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1318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709" w:top="1701" w:footer="709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425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caps/>
          <w:sz w:val="24"/>
          <w:szCs w:val="24"/>
        </w:rPr>
        <w:t>Условия реализации программы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360" w:before="0" w:after="0"/>
        <w:ind w:firstLine="425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Обучение проходит с использованием информационно-коммуникационных технологий. Для прохождения курса необходим компьютер с выходом в Интернет</w:t>
      </w:r>
    </w:p>
    <w:p>
      <w:pPr>
        <w:pStyle w:val="Normal"/>
        <w:shd w:val="clear" w:color="auto" w:fill="FFFFFF"/>
        <w:spacing w:lineRule="auto" w:line="360" w:before="0" w:after="0"/>
        <w:ind w:firstLine="425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Информационное обеспечение</w:t>
      </w:r>
    </w:p>
    <w:p>
      <w:pPr>
        <w:pStyle w:val="Normal"/>
        <w:shd w:val="clear" w:color="auto" w:fill="FFFFFF"/>
        <w:spacing w:lineRule="auto" w:line="360" w:before="0"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Перечень рекомендуемых учебных изданий, Интернет-ресурсов.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6 марта 2006 г. № 35-ФЗ «О противодействии терроризму»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 Президента Российской Федерации от 15 февраля 2006 года № 116 «О мерах по противодействию терроризму»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 Президента РФ от 13.04.2010 № 460 «О Национальной стратегии противодействия коррупции и Национальном плане противодействия коррупции на 2010-2011 годы»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 Президента РФ от 21.07.2010 № 925 «О мерах по реализации отдельных положений Федерального закона «О противодействии коррупции»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</w:t>
      </w:r>
    </w:p>
    <w:p>
      <w:pPr>
        <w:pStyle w:val="ListParagraph"/>
        <w:shd w:val="clear" w:color="auto" w:fill="FFFFFF"/>
        <w:spacing w:lineRule="auto" w:line="360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Интернет ресурсы: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/>
      </w:pPr>
      <w:hyperlink r:id="rId7" w:tgtFrame="_blank">
        <w:r>
          <w:rPr>
            <w:rStyle w:val="Style14"/>
            <w:rFonts w:cs="Times New Roman" w:ascii="Times New Roman" w:hAnsi="Times New Roman"/>
            <w:sz w:val="24"/>
            <w:szCs w:val="24"/>
          </w:rPr>
          <w:t>http://scienceport.ru</w:t>
        </w:r>
      </w:hyperlink>
      <w:r>
        <w:rPr>
          <w:rFonts w:cs="Times New Roman" w:ascii="Times New Roman" w:hAnsi="Times New Roman"/>
          <w:sz w:val="24"/>
          <w:szCs w:val="24"/>
        </w:rPr>
        <w:t>/ Портал «Наука и образование против террора».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/>
      </w:pPr>
      <w:hyperlink r:id="rId8" w:tgtFrame="_blank">
        <w:r>
          <w:rPr>
            <w:rStyle w:val="Style14"/>
            <w:rFonts w:cs="Times New Roman" w:ascii="Times New Roman" w:hAnsi="Times New Roman"/>
            <w:sz w:val="24"/>
            <w:szCs w:val="24"/>
          </w:rPr>
          <w:t>http://нцпти.рф</w:t>
        </w:r>
      </w:hyperlink>
      <w:r>
        <w:rPr>
          <w:rFonts w:cs="Times New Roman" w:ascii="Times New Roman" w:hAnsi="Times New Roman"/>
          <w:sz w:val="24"/>
          <w:szCs w:val="24"/>
        </w:rPr>
        <w:t>/ Национальный центр информационного противодействия терроризму и экстремизму в образовательной среде и сети интернет.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/>
      </w:pPr>
      <w:hyperlink r:id="rId9">
        <w:r>
          <w:rPr>
            <w:rStyle w:val="Style14"/>
            <w:rFonts w:cs="Times New Roman" w:ascii="Times New Roman" w:hAnsi="Times New Roman"/>
            <w:sz w:val="24"/>
            <w:szCs w:val="24"/>
          </w:rPr>
          <w:t>http://scienceport.ru/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Наука и образование против террора.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/>
      </w:pPr>
      <w:hyperlink r:id="rId10">
        <w:r>
          <w:rPr>
            <w:rStyle w:val="Style14"/>
            <w:rFonts w:cs="Times New Roman" w:ascii="Times New Roman" w:hAnsi="Times New Roman"/>
            <w:sz w:val="24"/>
            <w:szCs w:val="24"/>
          </w:rPr>
          <w:t>http://социальная-безопасность.гафнер.рф/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Гафнер В.В. Петров «Опасности социального характера и защита от них».</w:t>
      </w:r>
    </w:p>
    <w:sectPr>
      <w:headerReference w:type="default" r:id="rId11"/>
      <w:footerReference w:type="default" r:id="rId12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256390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34247089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3986383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Санкт-Петербургское государственное бюджетное профессиональное образовательное учреждение</w:t>
    </w:r>
  </w:p>
  <w:p>
    <w:pPr>
      <w:pStyle w:val="Style24"/>
      <w:jc w:val="center"/>
      <w:rPr>
        <w:rFonts w:ascii="Times New Roman" w:hAnsi="Times New Roman" w:cs="Times New Roman"/>
        <w:sz w:val="20"/>
        <w:szCs w:val="20"/>
      </w:rPr>
    </w:pPr>
    <w:r>
      <w:drawing>
        <wp:anchor behindDoc="0" distT="0" distB="0" distL="114300" distR="114300" simplePos="0" locked="0" layoutInCell="1" allowOverlap="1" relativeHeight="5">
          <wp:simplePos x="0" y="0"/>
          <wp:positionH relativeFrom="column">
            <wp:posOffset>422910</wp:posOffset>
          </wp:positionH>
          <wp:positionV relativeFrom="paragraph">
            <wp:posOffset>9525</wp:posOffset>
          </wp:positionV>
          <wp:extent cx="215265" cy="231140"/>
          <wp:effectExtent l="0" t="0" r="0" b="0"/>
          <wp:wrapTight wrapText="bothSides">
            <wp:wrapPolygon edited="0">
              <wp:start x="1899" y="0"/>
              <wp:lineTo x="-14" y="8894"/>
              <wp:lineTo x="-14" y="16011"/>
              <wp:lineTo x="3811" y="19570"/>
              <wp:lineTo x="15286" y="19570"/>
              <wp:lineTo x="19111" y="16011"/>
              <wp:lineTo x="19111" y="8894"/>
              <wp:lineTo x="17199" y="0"/>
              <wp:lineTo x="1899" y="0"/>
            </wp:wrapPolygon>
          </wp:wrapTight>
          <wp:docPr id="2" name="Рисунок 2" descr="C:\ЦДПО\Ирина Георгиевна\РАБОЧИЙ СТОЛ\Рабочий стол 8\ЛОГО\znak_a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ЦДПО\Ирина Георгиевна\РАБОЧИЙ СТОЛ\Рабочий стол 8\ЛОГО\znak_a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65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0"/>
        <w:szCs w:val="20"/>
      </w:rPr>
      <w:t>«</w:t>
    </w:r>
    <w:r>
      <w:rPr>
        <w:rFonts w:cs="Times New Roman" w:ascii="Times New Roman" w:hAnsi="Times New Roman"/>
        <w:sz w:val="20"/>
        <w:szCs w:val="20"/>
      </w:rPr>
      <w:t>Академия управления городской средой, градостроительства и печати»</w:t>
    </w:r>
  </w:p>
  <w:p>
    <w:pPr>
      <w:pStyle w:val="Style24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(СПб ГБПОУ «АУГСГиП»)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Санкт-Петербургское государственное бюджетное профессиональное образовательное учреждение</w:t>
    </w:r>
  </w:p>
  <w:p>
    <w:pPr>
      <w:pStyle w:val="Style24"/>
      <w:jc w:val="center"/>
      <w:rPr>
        <w:rFonts w:ascii="Times New Roman" w:hAnsi="Times New Roman" w:cs="Times New Roman"/>
        <w:sz w:val="20"/>
        <w:szCs w:val="20"/>
      </w:rPr>
    </w:pPr>
    <w:r>
      <w:drawing>
        <wp:anchor behindDoc="0" distT="0" distB="0" distL="114300" distR="114300" simplePos="0" locked="0" layoutInCell="1" allowOverlap="1" relativeHeight="6">
          <wp:simplePos x="0" y="0"/>
          <wp:positionH relativeFrom="column">
            <wp:posOffset>424815</wp:posOffset>
          </wp:positionH>
          <wp:positionV relativeFrom="paragraph">
            <wp:posOffset>12700</wp:posOffset>
          </wp:positionV>
          <wp:extent cx="361950" cy="388620"/>
          <wp:effectExtent l="0" t="0" r="0" b="0"/>
          <wp:wrapTight wrapText="bothSides">
            <wp:wrapPolygon edited="0">
              <wp:start x="4535" y="0"/>
              <wp:lineTo x="-14" y="9522"/>
              <wp:lineTo x="-14" y="14814"/>
              <wp:lineTo x="5673" y="20105"/>
              <wp:lineTo x="6811" y="20105"/>
              <wp:lineTo x="13636" y="20105"/>
              <wp:lineTo x="14773" y="20105"/>
              <wp:lineTo x="20460" y="14814"/>
              <wp:lineTo x="20460" y="9522"/>
              <wp:lineTo x="15910" y="0"/>
              <wp:lineTo x="4535" y="0"/>
            </wp:wrapPolygon>
          </wp:wrapTight>
          <wp:docPr id="3" name="Рисунок 3" descr="C:\ЦДПО\Ирина Георгиевна\РАБОЧИЙ СТОЛ\Рабочий стол 8\ЛОГО\znak_a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ЦДПО\Ирина Георгиевна\РАБОЧИЙ СТОЛ\Рабочий стол 8\ЛОГО\znak_a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0"/>
        <w:szCs w:val="20"/>
      </w:rPr>
      <w:t>«</w:t>
    </w:r>
    <w:r>
      <w:rPr>
        <w:rFonts w:cs="Times New Roman" w:ascii="Times New Roman" w:hAnsi="Times New Roman"/>
        <w:sz w:val="20"/>
        <w:szCs w:val="20"/>
      </w:rPr>
      <w:t>Академия управления городской средой, градостроительства и печати»</w:t>
    </w:r>
  </w:p>
  <w:p>
    <w:pPr>
      <w:pStyle w:val="Style24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(СПб ГБПОУ «АУГСГиП»)</w:t>
    </w:r>
  </w:p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  <w:sz w:val="20"/>
        <w:szCs w:val="20"/>
      </w:rPr>
      <w:t>Санкт-Петербургское государственное бюджетное профессиональное образовательное учреждение</w:t>
    </w:r>
  </w:p>
  <w:p>
    <w:pPr>
      <w:pStyle w:val="Style24"/>
      <w:jc w:val="center"/>
      <w:rPr/>
    </w:pPr>
    <w:r>
      <w:drawing>
        <wp:anchor behindDoc="0" distT="0" distB="0" distL="114300" distR="114300" simplePos="0" locked="0" layoutInCell="1" allowOverlap="1" relativeHeight="9">
          <wp:simplePos x="0" y="0"/>
          <wp:positionH relativeFrom="column">
            <wp:posOffset>422910</wp:posOffset>
          </wp:positionH>
          <wp:positionV relativeFrom="paragraph">
            <wp:posOffset>9525</wp:posOffset>
          </wp:positionV>
          <wp:extent cx="215265" cy="231140"/>
          <wp:effectExtent l="0" t="0" r="0" b="0"/>
          <wp:wrapTight wrapText="bothSides">
            <wp:wrapPolygon edited="0">
              <wp:start x="1899" y="0"/>
              <wp:lineTo x="-14" y="8894"/>
              <wp:lineTo x="-14" y="16011"/>
              <wp:lineTo x="3811" y="19570"/>
              <wp:lineTo x="15286" y="19570"/>
              <wp:lineTo x="19111" y="16011"/>
              <wp:lineTo x="19111" y="8894"/>
              <wp:lineTo x="17199" y="0"/>
              <wp:lineTo x="1899" y="0"/>
            </wp:wrapPolygon>
          </wp:wrapTight>
          <wp:docPr id="4" name="" descr="C:\ЦДПО\Ирина Георгиевна\РАБОЧИЙ СТОЛ\Рабочий стол 8\ЛОГО\znak_a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C:\ЦДПО\Ирина Георгиевна\РАБОЧИЙ СТОЛ\Рабочий стол 8\ЛОГО\znak_a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65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0"/>
        <w:szCs w:val="20"/>
      </w:rPr>
      <w:t>«</w:t>
    </w:r>
    <w:r>
      <w:rPr>
        <w:rFonts w:cs="Times New Roman" w:ascii="Times New Roman" w:hAnsi="Times New Roman"/>
        <w:sz w:val="20"/>
        <w:szCs w:val="20"/>
      </w:rPr>
      <w:t>Академия управления городской средой, градостроительства и печати»</w:t>
    </w:r>
  </w:p>
  <w:p>
    <w:pPr>
      <w:pStyle w:val="Style24"/>
      <w:jc w:val="center"/>
      <w:rPr/>
    </w:pPr>
    <w:r>
      <w:rPr>
        <w:rFonts w:cs="Times New Roman" w:ascii="Times New Roman" w:hAnsi="Times New Roman"/>
        <w:sz w:val="20"/>
        <w:szCs w:val="20"/>
      </w:rPr>
      <w:t>(СПб ГБПОУ «АУГСГиП»)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  <w:sz w:val="20"/>
        <w:szCs w:val="20"/>
      </w:rPr>
      <w:t>Санкт-Петербургское государственное бюджетное профессиональное образовательное учреждение</w:t>
    </w:r>
  </w:p>
  <w:p>
    <w:pPr>
      <w:pStyle w:val="Style24"/>
      <w:jc w:val="center"/>
      <w:rPr/>
    </w:pPr>
    <w:r>
      <w:drawing>
        <wp:anchor behindDoc="0" distT="0" distB="0" distL="114300" distR="114300" simplePos="0" locked="0" layoutInCell="1" allowOverlap="1" relativeHeight="10">
          <wp:simplePos x="0" y="0"/>
          <wp:positionH relativeFrom="column">
            <wp:posOffset>422910</wp:posOffset>
          </wp:positionH>
          <wp:positionV relativeFrom="paragraph">
            <wp:posOffset>9525</wp:posOffset>
          </wp:positionV>
          <wp:extent cx="215265" cy="231140"/>
          <wp:effectExtent l="0" t="0" r="0" b="0"/>
          <wp:wrapTight wrapText="bothSides">
            <wp:wrapPolygon edited="0">
              <wp:start x="1899" y="0"/>
              <wp:lineTo x="-14" y="8894"/>
              <wp:lineTo x="-14" y="16011"/>
              <wp:lineTo x="3811" y="19570"/>
              <wp:lineTo x="15286" y="19570"/>
              <wp:lineTo x="19111" y="16011"/>
              <wp:lineTo x="19111" y="8894"/>
              <wp:lineTo x="17199" y="0"/>
              <wp:lineTo x="1899" y="0"/>
            </wp:wrapPolygon>
          </wp:wrapTight>
          <wp:docPr id="5" name="" descr="C:\ЦДПО\Ирина Георгиевна\РАБОЧИЙ СТОЛ\Рабочий стол 8\ЛОГО\znak_a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C:\ЦДПО\Ирина Георгиевна\РАБОЧИЙ СТОЛ\Рабочий стол 8\ЛОГО\znak_a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65" cy="23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0"/>
        <w:szCs w:val="20"/>
      </w:rPr>
      <w:t>«</w:t>
    </w:r>
    <w:r>
      <w:rPr>
        <w:rFonts w:cs="Times New Roman" w:ascii="Times New Roman" w:hAnsi="Times New Roman"/>
        <w:sz w:val="20"/>
        <w:szCs w:val="20"/>
      </w:rPr>
      <w:t>Академия управления городской средой, градостроительства и печати»</w:t>
    </w:r>
  </w:p>
  <w:p>
    <w:pPr>
      <w:pStyle w:val="Style24"/>
      <w:jc w:val="center"/>
      <w:rPr/>
    </w:pPr>
    <w:r>
      <w:rPr>
        <w:rFonts w:cs="Times New Roman" w:ascii="Times New Roman" w:hAnsi="Times New Roman"/>
        <w:sz w:val="20"/>
        <w:szCs w:val="20"/>
      </w:rPr>
      <w:t>(СПб ГБПОУ «АУГСГиП»)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sz w:val="24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86" w:hanging="360"/>
      </w:pPr>
      <w:rPr>
        <w:sz w:val="24"/>
        <w:i w:val="false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val="bestFit"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b4da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756c4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7b5d75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7b5d75"/>
    <w:rPr/>
  </w:style>
  <w:style w:type="character" w:styleId="Style14">
    <w:name w:val="Интернет-ссылка"/>
    <w:basedOn w:val="DefaultParagraphFont"/>
    <w:uiPriority w:val="99"/>
    <w:unhideWhenUsed/>
    <w:rsid w:val="006b4da0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b4da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5" w:customStyle="1">
    <w:name w:val="Гипертекстовая ссылка"/>
    <w:basedOn w:val="DefaultParagraphFont"/>
    <w:uiPriority w:val="99"/>
    <w:qFormat/>
    <w:rsid w:val="00685031"/>
    <w:rPr>
      <w:rFonts w:cs="Times New Roman"/>
      <w:b w:val="false"/>
      <w:color w:val="106BBE"/>
    </w:rPr>
  </w:style>
  <w:style w:type="character" w:styleId="Style16">
    <w:name w:val="Выделение"/>
    <w:basedOn w:val="DefaultParagraphFont"/>
    <w:uiPriority w:val="20"/>
    <w:qFormat/>
    <w:rsid w:val="00b57d0c"/>
    <w:rPr>
      <w:i/>
      <w:iCs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670610"/>
    <w:rPr>
      <w:rFonts w:ascii="Tahoma" w:hAnsi="Tahoma" w:cs="Tahoma"/>
      <w:sz w:val="16"/>
      <w:szCs w:val="16"/>
    </w:rPr>
  </w:style>
  <w:style w:type="character" w:styleId="Instancename" w:customStyle="1">
    <w:name w:val="instancename"/>
    <w:basedOn w:val="DefaultParagraphFont"/>
    <w:qFormat/>
    <w:rsid w:val="00a04699"/>
    <w:rPr/>
  </w:style>
  <w:style w:type="character" w:styleId="Accesshide" w:customStyle="1">
    <w:name w:val="accesshide"/>
    <w:basedOn w:val="DefaultParagraphFont"/>
    <w:qFormat/>
    <w:rsid w:val="00a0469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d12fb"/>
    <w:rPr>
      <w:color w:val="800080" w:themeColor="followed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56c4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Palettecolor44" w:customStyle="1">
    <w:name w:val="palette-color4-4"/>
    <w:basedOn w:val="DefaultParagraphFont"/>
    <w:qFormat/>
    <w:rsid w:val="00346305"/>
    <w:rPr/>
  </w:style>
  <w:style w:type="character" w:styleId="Strong">
    <w:name w:val="Strong"/>
    <w:basedOn w:val="DefaultParagraphFont"/>
    <w:uiPriority w:val="22"/>
    <w:qFormat/>
    <w:rsid w:val="00346305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b/>
      <w:sz w:val="24"/>
      <w:szCs w:val="1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ascii="Times New Roman" w:hAnsi="Times New Roman"/>
      <w:b/>
      <w:sz w:val="24"/>
    </w:rPr>
  </w:style>
  <w:style w:type="character" w:styleId="ListLabel30">
    <w:name w:val="ListLabel 30"/>
    <w:qFormat/>
    <w:rPr>
      <w:sz w:val="16"/>
      <w:szCs w:val="16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rFonts w:ascii="Times New Roman" w:hAnsi="Times New Roman" w:cs="Times New Roman"/>
      <w:b/>
      <w:i w:val="false"/>
      <w:sz w:val="24"/>
    </w:rPr>
  </w:style>
  <w:style w:type="character" w:styleId="ListLabel48">
    <w:name w:val="ListLabel 48"/>
    <w:qFormat/>
    <w:rPr>
      <w:rFonts w:ascii="Times New Roman" w:hAnsi="Times New Roman" w:eastAsia="Calibri" w:cs="Times New Roman"/>
      <w:sz w:val="24"/>
      <w:szCs w:val="24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Header"/>
    <w:basedOn w:val="Normal"/>
    <w:link w:val="a4"/>
    <w:uiPriority w:val="99"/>
    <w:unhideWhenUsed/>
    <w:rsid w:val="007b5d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7b5d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72953"/>
    <w:pPr>
      <w:spacing w:before="0" w:after="200"/>
      <w:ind w:left="720" w:hanging="0"/>
      <w:contextualSpacing/>
    </w:pPr>
    <w:rPr/>
  </w:style>
  <w:style w:type="paragraph" w:styleId="Style26" w:customStyle="1">
    <w:name w:val="Знак"/>
    <w:basedOn w:val="Normal"/>
    <w:qFormat/>
    <w:rsid w:val="006c53b9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Pagetext" w:customStyle="1">
    <w:name w:val="page_text"/>
    <w:basedOn w:val="Normal"/>
    <w:qFormat/>
    <w:rsid w:val="008174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6706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d65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7a404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f5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hyperlink" Target="http://scienceport.ru/" TargetMode="External"/><Relationship Id="rId8" Type="http://schemas.openxmlformats.org/officeDocument/2006/relationships/hyperlink" Target="http://&#1085;&#1094;&#1087;&#1090;&#1080;.&#1088;&#1092;/" TargetMode="External"/><Relationship Id="rId9" Type="http://schemas.openxmlformats.org/officeDocument/2006/relationships/hyperlink" Target="http://scienceport.ru/" TargetMode="External"/><Relationship Id="rId10" Type="http://schemas.openxmlformats.org/officeDocument/2006/relationships/hyperlink" Target="http://&#1089;&#1086;&#1094;&#1080;&#1072;&#1083;&#1100;&#1085;&#1072;&#1103;-&#1073;&#1077;&#1079;&#1086;&#1087;&#1072;&#1089;&#1085;&#1086;&#1089;&#1090;&#1100;.&#1075;&#1072;&#1092;&#1085;&#1077;&#1088;.&#1088;&#1092;/" TargetMode="Externa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C871-0750-4141-9281-FAEC45F4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9</Pages>
  <Words>1170</Words>
  <Characters>9051</Characters>
  <CharactersWithSpaces>10021</CharactersWithSpaces>
  <Paragraphs>177</Paragraphs>
  <Company>СПБ ГБОУ СПО "КСИиГХ"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2019-03-20T17:16:00Z</dcterms:created>
  <dc:creator>User</dc:creator>
  <dc:description/>
  <dc:language>ru-RU</dc:language>
  <cp:lastModifiedBy/>
  <cp:lastPrinted>2019-03-05T14:58:00Z</cp:lastPrinted>
  <dcterms:modified xsi:type="dcterms:W3CDTF">2019-06-05T12:07:10Z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СПБ ГБОУ СПО "КСИиГХ"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